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before="0" w:after="0"/>
        <w:rPr>
          <w:highlight w:val="none"/>
          <w:shd w:fill="auto" w:val="clear"/>
        </w:rPr>
      </w:pPr>
      <w:r>
        <w:rPr>
          <w:rFonts w:cs="Times New Roman" w:ascii="Times New Roman" w:hAnsi="Times New Roman"/>
          <w:b/>
          <w:bCs/>
          <w:szCs w:val="24"/>
          <w:shd w:fill="auto" w:val="clear"/>
        </w:rPr>
        <w:t>On hope and the environmental crisis : A sermon delivered at Ely Cathedral, 5 October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b/>
          <w:bCs/>
          <w:szCs w:val="24"/>
          <w:shd w:fill="auto" w:val="clear"/>
        </w:rPr>
        <w:t>Nigel Cooper</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ind w:left="720"/>
        <w:rPr>
          <w:highlight w:val="none"/>
          <w:shd w:fill="auto" w:val="clear"/>
        </w:rPr>
      </w:pPr>
      <w:r>
        <w:rPr>
          <w:rFonts w:cs="Times New Roman" w:ascii="Times New Roman" w:hAnsi="Times New Roman"/>
          <w:i/>
          <w:iCs/>
          <w:szCs w:val="24"/>
          <w:shd w:fill="auto" w:val="clear"/>
        </w:rPr>
        <w:t>We look not at what can be seen but at what cannot be seen; for what can be seen is temporary, but what cannot be seen is eternal.</w:t>
      </w:r>
      <w:r>
        <w:rPr>
          <w:rFonts w:cs="Times New Roman" w:ascii="Times New Roman" w:hAnsi="Times New Roman"/>
          <w:szCs w:val="24"/>
          <w:shd w:fill="auto" w:val="clear"/>
        </w:rPr>
        <w:t xml:space="preserve"> (2 Cor 4:18)</w:t>
      </w:r>
      <w:r>
        <w:rPr>
          <w:rFonts w:cs="Times New Roman" w:ascii="Times New Roman" w:hAnsi="Times New Roman"/>
          <w:szCs w:val="24"/>
          <w:shd w:fill="auto" w:val="clear"/>
          <w:vertAlign w:val="superscript"/>
        </w:rPr>
        <w:t>1</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We have not had feel-good readings this morning.</w:t>
      </w:r>
      <w:r>
        <w:rPr>
          <w:rFonts w:cs="Times New Roman" w:ascii="Times New Roman" w:hAnsi="Times New Roman"/>
          <w:szCs w:val="24"/>
          <w:shd w:fill="auto" w:val="clear"/>
          <w:vertAlign w:val="superscript"/>
        </w:rPr>
        <w:t>2</w:t>
      </w:r>
      <w:r>
        <w:rPr>
          <w:rFonts w:cs="Times New Roman" w:ascii="Times New Roman" w:hAnsi="Times New Roman"/>
          <w:szCs w:val="24"/>
          <w:shd w:fill="auto" w:val="clear"/>
        </w:rPr>
        <w:t xml:space="preserve"> No “Come to me all ye that are heavy laden”. Paul is apparently in prison. Habakkuk’s prophecy is still waiting to be precisely fulfilled.</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These readings come on top of the desperate dynamics in the news, especially the terrifying momentum to the right, both in Britain and in many other countries.</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As a lifelong environmentalist, I weep and often despair.</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You know the catalogue. Let me just mention Trump calling climate change the greatest con job ever. Kemi Badenough wants to repeal the Climate Change Act. And the UK’s Climate Change Committee persistently criticises governments of all colours for not doing nearly enough. The Paris 1.5 degree target has been breached and is surely now a lost cause. And all this in the face of both the science and our lived experience.</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There is a saying – variously attributed to Slavoj Žižek or Fredric Jameson – that it is easier to imagine the end of the world than the end of capitalism. I find that true for me. What about you? Is it easier to imagine the end of the world than the end of capitalism?</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Of course the end of the world is not the explosion of the Earth into tiny fragments; or the end of life on Earth; or even the end of humanity. It is really about the end of life as we know it, including capitalism itself. A leading Swiss insurance executive recently caused a stir by suggesting on his blog that climate change might destroy capitalism (Thallinger, 2025). From what little I have read, it seems the insurance industry is genuinely anxious.</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This pitting of the environment against capitalism I find very instructive. I think what is meant by capitalism here is not basic market exchange. It is primarily a social system, bolstered by some theories of economics to justify it. It is where people and corporations with wealth use it to extract more wealth from the system for themselves. They want ever more wealth to gain the power they need to control society so that it works in their favour. Wealth gives them power over media and so how we all think; it gives them leverage over politicians; it gives them financial bargaining power; it can give them celebrity status as an influencer. All this works quite effectively. Wealth inequality statistics demonstrate this. Here is just one, back in 2023 researchers at Greenwich University estimated that the top fifty wealthiest families in Britain own as much wealth as the total owned by the bottom fifty per cent of the population (Tippet and Wildauer, 2023).</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Nature doesn’t work that way. Wealth cannot bargain with it, force it to compromise, change the way it thinks about itself, or impress it with posturing. Nature is actually the real world, in contrast to the social and financial worlds, which are the products of human imaginations.</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Take fish. Marine conservation biologists estimate the ‘maximum sustainable catches’, which are often much less than what is being caught. Governments, when determining quotas, hear these as negotiating positions </w:t>
      </w:r>
      <w:r>
        <w:rPr>
          <w:rFonts w:cs="Times New Roman" w:ascii="Times New Roman" w:hAnsi="Times New Roman"/>
          <w:i/>
          <w:iCs/>
          <w:szCs w:val="24"/>
          <w:shd w:fill="auto" w:val="clear"/>
        </w:rPr>
        <w:t xml:space="preserve">vis-à-vis </w:t>
      </w:r>
      <w:r>
        <w:rPr>
          <w:rFonts w:cs="Times New Roman" w:ascii="Times New Roman" w:hAnsi="Times New Roman"/>
          <w:szCs w:val="24"/>
          <w:shd w:fill="auto" w:val="clear"/>
        </w:rPr>
        <w:t>the demands from the industry and go for some sort of compromise. But, nature does not negotiate. In this case, the fish populations just decrease until a tipping point is reached and the ecosystem collapses. This was the case in the cod fisheries in the north-west Atlantic. Now the North Sea cod populations are also in dire condition (Beament,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The wishful thinking of a Trump or a Farage is based on phantasy or a callous disregard for others for short-term personal gain: When it all goes wrong, I have enough money to do well out of the catastrophe; or, </w:t>
      </w:r>
      <w:r>
        <w:rPr>
          <w:rFonts w:cs="Times New Roman" w:ascii="Times New Roman" w:hAnsi="Times New Roman"/>
          <w:i/>
          <w:iCs/>
          <w:szCs w:val="24"/>
          <w:shd w:fill="auto" w:val="clear"/>
        </w:rPr>
        <w:t>in extremis</w:t>
      </w:r>
      <w:r>
        <w:rPr>
          <w:rFonts w:cs="Times New Roman" w:ascii="Times New Roman" w:hAnsi="Times New Roman"/>
          <w:szCs w:val="24"/>
          <w:shd w:fill="auto" w:val="clear"/>
        </w:rPr>
        <w:t>, I shall go to Mars! Meanwhile, such people can employ the environment or Net Zero Carbon policies as another scapegoat, alongside immigrants, to work up the populace into voting them into power; this, despite it being against the interests of the general population. Currently, they are promulgating the claim that net zero pushes up prices and the cost of living, rather than admitting that profiteering is to blame (</w:t>
      </w:r>
      <w:r>
        <w:rPr>
          <w:rFonts w:cs="Times New Roman" w:ascii="Times New Roman" w:hAnsi="Times New Roman"/>
          <w:szCs w:val="24"/>
          <w:shd w:fill="auto" w:val="clear"/>
        </w:rPr>
        <w:t>UNITE</w:t>
      </w:r>
      <w:r>
        <w:rPr>
          <w:rFonts w:cs="Times New Roman" w:ascii="Times New Roman" w:hAnsi="Times New Roman"/>
          <w:szCs w:val="24"/>
          <w:shd w:fill="auto" w:val="clear"/>
        </w:rPr>
        <w:t>,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Now, in this scenario I have been sketching, it is not surprising if religion is sidelined. This is particularly the case for what might be termed a Lukan gospel. Think of last Sunday’s gospel of Dives and Lazarus (Luke 16:19–31), of the Magnificat, and of much more. You cannot serve both God and mammon. It is not a welcome message. In truth, as a middle-of-the-road Anglican I am not very keen on it either. I think this is one of the factors behind church decline. It is at odds with the spirit of the age.</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w:t>
      </w:r>
      <w:r>
        <w:rPr>
          <w:rFonts w:cs="Times New Roman" w:ascii="Times New Roman" w:hAnsi="Times New Roman"/>
          <w:szCs w:val="24"/>
          <w:shd w:fill="auto" w:val="clear"/>
        </w:rPr>
        <w:t>They have Moses and the prophets, let them listen to them”, says Abraham to the rich man. Yes, and I would add, resurrecting the old notion of God’s two books, of scripture and of nature: “They have nature, let them listen to her”.</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The church has been unfashionable for a while now. I anticipate it can expect hostility to increase, particularly if we are faithful to our prophetic calling, of turning the hearts of the disobedient to the wisdom of the just.</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Yet the gospel is not just the proclamation of judgement; it is also the proclamation of hope. This is not to be reduced to merely a hope in personal salvation, but a hope for the whole of creation. It is now subject to vanity, waiting in hope for its consummation in Christ. </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Amongst all the environmental gloom, many clutch at points of light. Technology has developed rapidly and has been taken up in some fields – think of the rapid increase in electric cars. Though this is also, unfortunately, a classic example of the Jevons paradox: something becomes possible with less resources, but people use this as an excuse to use as much as (or more than) before by driving much bigger cars – how many small electric cars does one see on the road? </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When we reflect on human nature and specifically with society’s current terrifying momentum, we shall probably have to put up with whatever crumbs technology can provide; hence my personal hope shifts to my second point. If it does go badly wrong, it will not be the end of history. The forces of oppression and of justice will continue to wax and wane. Nature naturing will endure. I am reminded of Orwell, “but the earth is still going round the sun, and neither the dictators nor the bureaucrats, deeply as they disapprove of the process, are able to prevent it” (Orwell, 1968: 145).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For me, though, the focus of hope lies in a third direction. Hope is not an estimate of probabilities but a spiritual discipline. In his poem </w:t>
      </w:r>
      <w:r>
        <w:rPr>
          <w:rFonts w:cs="Times New Roman" w:ascii="Times New Roman" w:hAnsi="Times New Roman"/>
          <w:i/>
          <w:iCs/>
          <w:szCs w:val="24"/>
          <w:shd w:fill="auto" w:val="clear"/>
        </w:rPr>
        <w:t>East Coker</w:t>
      </w:r>
      <w:r>
        <w:rPr>
          <w:rFonts w:cs="Times New Roman" w:ascii="Times New Roman" w:hAnsi="Times New Roman"/>
          <w:szCs w:val="24"/>
          <w:shd w:fill="auto" w:val="clear"/>
        </w:rPr>
        <w:t>, TS Eliot writes,</w:t>
      </w:r>
    </w:p>
    <w:p>
      <w:pPr>
        <w:pStyle w:val="Normal"/>
        <w:spacing w:lineRule="auto" w:line="276" w:before="0" w:after="0"/>
        <w:ind w:left="720"/>
        <w:rPr>
          <w:highlight w:val="none"/>
          <w:shd w:fill="auto" w:val="clear"/>
        </w:rPr>
      </w:pPr>
      <w:r>
        <w:rPr>
          <w:rFonts w:cs="Times New Roman" w:ascii="Times New Roman" w:hAnsi="Times New Roman"/>
          <w:i/>
          <w:iCs/>
          <w:szCs w:val="24"/>
          <w:shd w:fill="auto" w:val="clear"/>
        </w:rPr>
        <w:t>I said to my soul, be still and wait without hope</w:t>
      </w:r>
    </w:p>
    <w:p>
      <w:pPr>
        <w:pStyle w:val="Normal"/>
        <w:spacing w:lineRule="auto" w:line="276" w:before="0" w:after="0"/>
        <w:ind w:left="720"/>
        <w:rPr>
          <w:highlight w:val="none"/>
          <w:shd w:fill="auto" w:val="clear"/>
        </w:rPr>
      </w:pPr>
      <w:r>
        <w:rPr>
          <w:rFonts w:cs="Times New Roman" w:ascii="Times New Roman" w:hAnsi="Times New Roman"/>
          <w:i/>
          <w:iCs/>
          <w:szCs w:val="24"/>
          <w:shd w:fill="auto" w:val="clear"/>
        </w:rPr>
        <w:t>For hope would be hope for the wrong thing</w:t>
      </w:r>
    </w:p>
    <w:p>
      <w:pPr>
        <w:pStyle w:val="Normal"/>
        <w:spacing w:lineRule="auto" w:line="276" w:before="0" w:after="0"/>
        <w:rPr>
          <w:highlight w:val="none"/>
          <w:shd w:fill="auto" w:val="clear"/>
        </w:rPr>
      </w:pPr>
      <w:r>
        <w:rPr>
          <w:rFonts w:cs="Times New Roman" w:ascii="Times New Roman" w:hAnsi="Times New Roman"/>
          <w:szCs w:val="24"/>
          <w:shd w:fill="auto" w:val="clear"/>
        </w:rPr>
        <w:t>Hope is much deeper than hoping things will turn out for the best. It is an anchored commitment to things unseen, the things that are eternal; things summed up in the three transcendentals of goodness, truth and beauty, or in St Paul’s faith, hope and love. That commitment is costly. It can end one up in prison, like St Paul.</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I recently heard the BBC correspondent, Fergal Keane, talk on what gave him hope. He spoke of his experiences in South Africa at the end of Apartheid, of Rwanda and in Northern Ireland. He singled out people of great courage who stood out against the forces of evil and hate. Some have famous names like Nelson Mandela. Most are hardly known. Do we have the faith, not to move mulberry trees, but to face prison with a Mandela or a St Paul? Do we have the grit to come in from the ploughing and then immediately to start serving our Lord in the poor?</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That is a sermonic rhetorical question if ever there was one! Without the drama that the question presupposes, are there realistic – yet costly – ways in which we ordinary Christians can express spiritual hope?</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One I particularly commend to you is to find ways of speaking about this to people around you (Climate Outreach, 2025;</w:t>
      </w:r>
      <w:r>
        <w:rPr>
          <w:shd w:fill="auto" w:val="clear"/>
        </w:rPr>
        <w:t xml:space="preserve"> </w:t>
      </w:r>
      <w:r>
        <w:rPr>
          <w:rFonts w:cs="Times New Roman" w:ascii="Times New Roman" w:hAnsi="Times New Roman"/>
          <w:szCs w:val="24"/>
          <w:shd w:fill="auto" w:val="clear"/>
        </w:rPr>
        <w:t xml:space="preserve">Global Action Plan, 2021). It is not at all easy as it is a taboo subject socially. Nevertheless, a Yale University study of British people less than a year ago found 75 per cent of us understand climate change to be human-caused; 68 per cent thought the climate should be a high or very high priority for government; 80 per cent are ‘somewhat worried’ or worse (Leiserowitz </w:t>
      </w:r>
      <w:r>
        <w:rPr>
          <w:rFonts w:cs="Times New Roman" w:ascii="Times New Roman" w:hAnsi="Times New Roman"/>
          <w:i/>
          <w:iCs/>
          <w:szCs w:val="24"/>
          <w:shd w:fill="auto" w:val="clear"/>
        </w:rPr>
        <w:t>et al.</w:t>
      </w:r>
      <w:r>
        <w:rPr>
          <w:rFonts w:cs="Times New Roman" w:ascii="Times New Roman" w:hAnsi="Times New Roman"/>
          <w:i w:val="false"/>
          <w:iCs w:val="false"/>
          <w:szCs w:val="24"/>
          <w:shd w:fill="auto" w:val="clear"/>
        </w:rPr>
        <w:t>, 2025)</w:t>
      </w:r>
      <w:r>
        <w:rPr>
          <w:rFonts w:cs="Times New Roman" w:ascii="Times New Roman" w:hAnsi="Times New Roman"/>
          <w:szCs w:val="24"/>
          <w:shd w:fill="auto" w:val="clear"/>
        </w:rPr>
        <w:t>. Another study found that about 15 per cent of UK adults suffer from eco-anxiety, rising to 33 per cent in 18 to 34 year-olds (BusinessGreen, 2023). This provides the context. Can we, maybe, look out for opportunities to talk about climate in conversations? The perennial topic of the weather begs extension. “It’s cold today.” “Yes, but do you remember how cold it used to be in our childhoods?” At the mention of a grandchild, “I worry about how fit the world will be for them to live in. Do you also worry?” Let’s just talk about it.</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To end, I want to return to the thought that hope is a spiritual discipline. In the line following that which I quoted above, Eliot wrote,</w:t>
      </w:r>
    </w:p>
    <w:p>
      <w:pPr>
        <w:pStyle w:val="Normal"/>
        <w:spacing w:lineRule="auto" w:line="276" w:before="0" w:after="0"/>
        <w:ind w:left="3600"/>
        <w:rPr>
          <w:highlight w:val="none"/>
          <w:shd w:fill="auto" w:val="clear"/>
        </w:rPr>
      </w:pPr>
      <w:r>
        <w:rPr>
          <w:rFonts w:cs="Times New Roman" w:ascii="Times New Roman" w:hAnsi="Times New Roman"/>
          <w:i/>
          <w:iCs/>
          <w:szCs w:val="24"/>
          <w:shd w:fill="auto" w:val="clear"/>
        </w:rPr>
        <w:t>there is yet faith</w:t>
      </w:r>
    </w:p>
    <w:p>
      <w:pPr>
        <w:pStyle w:val="Normal"/>
        <w:spacing w:lineRule="auto" w:line="276" w:before="0" w:after="0"/>
        <w:ind w:left="720"/>
        <w:rPr>
          <w:highlight w:val="none"/>
          <w:shd w:fill="auto" w:val="clear"/>
        </w:rPr>
      </w:pPr>
      <w:r>
        <w:rPr>
          <w:rFonts w:cs="Times New Roman" w:ascii="Times New Roman" w:hAnsi="Times New Roman"/>
          <w:i/>
          <w:iCs/>
          <w:szCs w:val="24"/>
          <w:shd w:fill="auto" w:val="clear"/>
        </w:rPr>
        <w:t>But the faith and the love and the hope are all in the waiting.</w:t>
      </w:r>
    </w:p>
    <w:p>
      <w:pPr>
        <w:pStyle w:val="Normal"/>
        <w:spacing w:lineRule="auto" w:line="276" w:before="0" w:after="0"/>
        <w:rPr>
          <w:highlight w:val="none"/>
          <w:shd w:fill="auto" w:val="clear"/>
        </w:rPr>
      </w:pPr>
      <w:r>
        <w:rPr>
          <w:rFonts w:cs="Times New Roman" w:ascii="Times New Roman" w:hAnsi="Times New Roman"/>
          <w:szCs w:val="24"/>
          <w:shd w:fill="auto" w:val="clear"/>
        </w:rPr>
        <w:t>That waiting may be in the watchfulness of a Habakkuk on his rampart, or in the prison cell of a St Paul. It can be in the faithful speaking of the gospel, in season and out of season. We wait patiently, alert to the unseen, the things that are eternal.</w:t>
      </w:r>
    </w:p>
    <w:p>
      <w:pPr>
        <w:pStyle w:val="Normal"/>
        <w:spacing w:lineRule="auto" w:line="276" w:before="0" w:after="0"/>
        <w:rPr>
          <w:rFonts w:ascii="Times New Roman" w:hAnsi="Times New Roman" w:cs="Times New Roman"/>
          <w:b/>
          <w:bCs/>
          <w:szCs w:val="24"/>
          <w:highlight w:val="none"/>
          <w:shd w:fill="auto" w:val="clear"/>
        </w:rPr>
      </w:pPr>
      <w:r>
        <w:rPr>
          <w:rFonts w:cs="Times New Roman" w:ascii="Times New Roman" w:hAnsi="Times New Roman"/>
          <w:b/>
          <w:bCs/>
          <w:szCs w:val="24"/>
          <w:shd w:fill="auto" w:val="clear"/>
        </w:rPr>
      </w:r>
    </w:p>
    <w:p>
      <w:pPr>
        <w:pStyle w:val="Normal"/>
        <w:spacing w:lineRule="auto" w:line="276" w:before="0" w:after="0"/>
        <w:rPr>
          <w:highlight w:val="none"/>
          <w:shd w:fill="auto" w:val="clear"/>
        </w:rPr>
      </w:pPr>
      <w:r>
        <w:rPr>
          <w:rFonts w:cs="Times New Roman" w:ascii="Times New Roman" w:hAnsi="Times New Roman"/>
          <w:b/>
          <w:bCs/>
          <w:szCs w:val="24"/>
          <w:shd w:fill="auto" w:val="clear"/>
        </w:rPr>
        <w:t>Notes</w:t>
      </w:r>
    </w:p>
    <w:p>
      <w:pPr>
        <w:pStyle w:val="Normal"/>
        <w:spacing w:lineRule="auto" w:line="276" w:before="0" w:after="0"/>
        <w:rPr>
          <w:highlight w:val="none"/>
          <w:shd w:fill="auto" w:val="clear"/>
        </w:rPr>
      </w:pPr>
      <w:r>
        <w:rPr>
          <w:rFonts w:cs="Times New Roman" w:ascii="Times New Roman" w:hAnsi="Times New Roman"/>
          <w:szCs w:val="24"/>
          <w:shd w:fill="auto" w:val="clear"/>
        </w:rPr>
        <w:t>1. Some might worry that this text consigns the natural world to the seen and the passing away. I do not read it that way. For those who look on nature and see only what is seen, they are seeing a surface of power. They can only see nature and all its members as instruments available for them to use in their own projects, projects that are themselves ‘visible’ and passing away. When we look for the unseen in nature we see the transcendentals instantiated. This is not as a mere window onto ideas (as Plato), but as particulars, each with their own being (which is the ultimate transcendental). It is also not a temporary phenomenon. Each moment of each member of nature partakes in eternity. Change and decay does not cast these beings into nothingness, the non-lasting. Rather, each moment is anchored for ever in the realm of the eternal. Beauty is a transcendental particularly associated with ‘seeing’. An animal, a flower, a view, all we might judge from their appearance as beautiful. If we are only looking at what is seen, then we see a moneymaking opportunity. If we see the unseen, we are in awe. Beauty also has a time dimension, most easily appreciated in music and natural sounds, but also, for instance, in a sunset as it changes and the dark overwhelms it. The change adds to the beauty, even its passing does. The change itself partakes in eternity.</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2. The readings were Habakkuk 1:1–4; 2.1–5; Psalm 37:1–9; 2 Timothy 1:1–14; and Luke 17:5–10.</w:t>
      </w:r>
    </w:p>
    <w:p>
      <w:pPr>
        <w:pStyle w:val="Normal"/>
        <w:spacing w:lineRule="auto" w:line="276" w:before="0" w:after="0"/>
        <w:rPr>
          <w:rFonts w:ascii="Times New Roman" w:hAnsi="Times New Roman" w:cs="Times New Roman"/>
          <w:b/>
          <w:bCs/>
          <w:szCs w:val="24"/>
          <w:highlight w:val="none"/>
          <w:shd w:fill="auto" w:val="clear"/>
        </w:rPr>
      </w:pPr>
      <w:r>
        <w:rPr>
          <w:rFonts w:cs="Times New Roman" w:ascii="Times New Roman" w:hAnsi="Times New Roman"/>
          <w:b/>
          <w:bCs/>
          <w:szCs w:val="24"/>
          <w:shd w:fill="auto" w:val="clear"/>
        </w:rPr>
      </w:r>
    </w:p>
    <w:p>
      <w:pPr>
        <w:pStyle w:val="Normal"/>
        <w:spacing w:lineRule="auto" w:line="276" w:before="0" w:after="0"/>
        <w:rPr>
          <w:highlight w:val="none"/>
          <w:shd w:fill="auto" w:val="clear"/>
        </w:rPr>
      </w:pPr>
      <w:r>
        <w:rPr>
          <w:rFonts w:cs="Times New Roman" w:ascii="Times New Roman" w:hAnsi="Times New Roman"/>
          <w:b/>
          <w:bCs/>
          <w:szCs w:val="24"/>
          <w:shd w:fill="auto" w:val="clear"/>
        </w:rPr>
        <w:t>References</w:t>
      </w:r>
    </w:p>
    <w:p>
      <w:pPr>
        <w:pStyle w:val="Normal"/>
        <w:spacing w:lineRule="auto" w:line="276" w:before="0" w:after="0"/>
        <w:rPr/>
      </w:pPr>
      <w:r>
        <w:rPr>
          <w:rFonts w:cs="Times New Roman" w:ascii="Times New Roman" w:hAnsi="Times New Roman"/>
          <w:szCs w:val="24"/>
          <w:shd w:fill="auto" w:val="clear"/>
        </w:rPr>
        <w:t xml:space="preserve">Beament E (2025) End of the line for cod? </w:t>
      </w:r>
      <w:r>
        <w:rPr>
          <w:rFonts w:cs="Times New Roman" w:ascii="Times New Roman" w:hAnsi="Times New Roman"/>
          <w:i/>
          <w:iCs/>
          <w:szCs w:val="24"/>
          <w:shd w:fill="auto" w:val="clear"/>
        </w:rPr>
        <w:t>The Ecologist</w:t>
      </w:r>
      <w:r>
        <w:rPr>
          <w:rFonts w:cs="Times New Roman" w:ascii="Times New Roman" w:hAnsi="Times New Roman"/>
          <w:i w:val="false"/>
          <w:iCs w:val="false"/>
          <w:szCs w:val="24"/>
          <w:shd w:fill="auto" w:val="clear"/>
        </w:rPr>
        <w:t xml:space="preserve">, 29 September. Available at </w:t>
      </w:r>
      <w:hyperlink r:id="rId2">
        <w:r>
          <w:rPr>
            <w:rStyle w:val="Hyperlink"/>
            <w:rFonts w:cs="Times New Roman" w:ascii="Times New Roman" w:hAnsi="Times New Roman"/>
            <w:i w:val="false"/>
            <w:iCs w:val="false"/>
            <w:szCs w:val="24"/>
            <w:shd w:fill="auto" w:val="clear"/>
          </w:rPr>
          <w:t>https://theecologist.org/2025/sep/29/end-line-cod</w:t>
        </w:r>
      </w:hyperlink>
      <w:r>
        <w:rPr>
          <w:rFonts w:cs="Times New Roman" w:ascii="Times New Roman" w:hAnsi="Times New Roman"/>
          <w:i w:val="false"/>
          <w:iCs w:val="false"/>
          <w:szCs w:val="24"/>
          <w:shd w:fill="auto" w:val="clear"/>
        </w:rPr>
        <w:t xml:space="preserve"> (accessed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rFonts w:cs="Times New Roman" w:ascii="Times New Roman" w:hAnsi="Times New Roman"/>
          <w:szCs w:val="24"/>
          <w:shd w:fill="auto" w:val="clear"/>
        </w:rPr>
        <w:t xml:space="preserve">BusinessGreen (2023) Poll: Climate policy u-turns exacerbating public eco-anxiety. </w:t>
      </w:r>
      <w:r>
        <w:rPr>
          <w:rFonts w:cs="Times New Roman" w:ascii="Times New Roman" w:hAnsi="Times New Roman"/>
          <w:i/>
          <w:iCs/>
          <w:szCs w:val="24"/>
          <w:shd w:fill="auto" w:val="clear"/>
        </w:rPr>
        <w:t>BusinessGreen</w:t>
      </w:r>
      <w:r>
        <w:rPr>
          <w:rFonts w:cs="Times New Roman" w:ascii="Times New Roman" w:hAnsi="Times New Roman"/>
          <w:szCs w:val="24"/>
          <w:shd w:fill="auto" w:val="clear"/>
        </w:rPr>
        <w:t xml:space="preserve">, 8 September. Available at </w:t>
      </w:r>
      <w:hyperlink r:id="rId3">
        <w:r>
          <w:rPr>
            <w:rStyle w:val="Hyperlink"/>
            <w:rFonts w:cs="Times New Roman" w:ascii="Times New Roman" w:hAnsi="Times New Roman"/>
            <w:szCs w:val="24"/>
            <w:shd w:fill="auto" w:val="clear"/>
          </w:rPr>
          <w:t>https://www.businessgreen.com/news/4124277/poll-climate-policy-exacerbating-public-eco-anxiety</w:t>
        </w:r>
      </w:hyperlink>
      <w:r>
        <w:rPr>
          <w:rFonts w:cs="Times New Roman" w:ascii="Times New Roman" w:hAnsi="Times New Roman"/>
          <w:szCs w:val="24"/>
          <w:shd w:fill="auto" w:val="clear"/>
        </w:rPr>
        <w:t xml:space="preserve"> (accessed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shd w:fill="auto" w:val="clear"/>
        </w:rPr>
        <w:t xml:space="preserve">Climate Outreach, 2025, </w:t>
      </w:r>
      <w:r>
        <w:rPr>
          <w:i/>
          <w:iCs/>
          <w:shd w:fill="auto" w:val="clear"/>
        </w:rPr>
        <w:t>Britain Talks Climate and Nature</w:t>
      </w:r>
      <w:r>
        <w:rPr>
          <w:shd w:fill="auto" w:val="clear"/>
        </w:rPr>
        <w:t xml:space="preserve"> </w:t>
      </w:r>
      <w:hyperlink r:id="rId4">
        <w:r>
          <w:rPr>
            <w:rStyle w:val="Hyperlink"/>
            <w:shd w:fill="auto" w:val="clear"/>
          </w:rPr>
          <w:t>Report - Climate Outreach</w:t>
        </w:r>
      </w:hyperlink>
      <w:r>
        <w:rPr>
          <w:rStyle w:val="Hyperlink"/>
          <w:shd w:fill="auto" w:val="clear"/>
        </w:rPr>
        <w:t xml:space="preserve"> </w:t>
      </w:r>
      <w:r>
        <w:rPr>
          <w:rStyle w:val="Hyperlink"/>
          <w:rFonts w:cs="Times New Roman" w:ascii="Times New Roman" w:hAnsi="Times New Roman"/>
          <w:i w:val="false"/>
          <w:iCs w:val="false"/>
          <w:szCs w:val="24"/>
          <w:shd w:fill="auto" w:val="clear"/>
        </w:rPr>
        <w:t>(accessed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Eliot TS (1943) </w:t>
      </w:r>
      <w:r>
        <w:rPr>
          <w:rFonts w:cs="Times New Roman" w:ascii="Times New Roman" w:hAnsi="Times New Roman"/>
          <w:i/>
          <w:iCs/>
          <w:szCs w:val="24"/>
          <w:shd w:fill="auto" w:val="clear"/>
        </w:rPr>
        <w:t>Four Quartets</w:t>
      </w:r>
      <w:r>
        <w:rPr>
          <w:rFonts w:cs="Times New Roman" w:ascii="Times New Roman" w:hAnsi="Times New Roman"/>
          <w:szCs w:val="24"/>
          <w:shd w:fill="auto" w:val="clear"/>
        </w:rPr>
        <w:t>. Harcourt, New York, NY, USA.</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shd w:fill="auto" w:val="clear"/>
        </w:rPr>
        <w:t xml:space="preserve">Global Action Plan, 2021,  </w:t>
      </w:r>
      <w:r>
        <w:rPr>
          <w:i/>
          <w:iCs/>
          <w:shd w:fill="auto" w:val="clear"/>
        </w:rPr>
        <w:t>Supercharging the climate conversation: Engaging the next generation with climate change</w:t>
      </w:r>
      <w:r>
        <w:rPr>
          <w:shd w:fill="auto" w:val="clear"/>
        </w:rPr>
        <w:t xml:space="preserve">   </w:t>
      </w:r>
      <w:hyperlink r:id="rId5">
        <w:r>
          <w:rPr>
            <w:rStyle w:val="Hyperlink"/>
            <w:shd w:fill="auto" w:val="clear"/>
          </w:rPr>
          <w:t>final_white_paper.pdf</w:t>
        </w:r>
      </w:hyperlink>
      <w:r>
        <w:rPr>
          <w:shd w:fill="auto" w:val="clear"/>
        </w:rPr>
        <w:t xml:space="preserve"> </w:t>
      </w:r>
      <w:r>
        <w:rPr>
          <w:rFonts w:cs="Times New Roman" w:ascii="Times New Roman" w:hAnsi="Times New Roman"/>
          <w:i w:val="false"/>
          <w:iCs w:val="false"/>
          <w:szCs w:val="24"/>
          <w:shd w:fill="auto" w:val="clear"/>
        </w:rPr>
        <w:t>(accessed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rFonts w:cs="Times New Roman" w:ascii="Times New Roman" w:hAnsi="Times New Roman"/>
          <w:szCs w:val="24"/>
          <w:shd w:fill="auto" w:val="clear"/>
        </w:rPr>
        <w:t xml:space="preserve">Leiserowitz A, Carman J, Goddard E </w:t>
      </w:r>
      <w:r>
        <w:rPr>
          <w:rFonts w:cs="Times New Roman" w:ascii="Times New Roman" w:hAnsi="Times New Roman"/>
          <w:i/>
          <w:iCs/>
          <w:szCs w:val="24"/>
          <w:shd w:fill="auto" w:val="clear"/>
        </w:rPr>
        <w:t>et al.</w:t>
      </w:r>
      <w:r>
        <w:rPr>
          <w:rFonts w:cs="Times New Roman" w:ascii="Times New Roman" w:hAnsi="Times New Roman"/>
          <w:i w:val="false"/>
          <w:iCs w:val="false"/>
          <w:szCs w:val="24"/>
          <w:shd w:fill="auto" w:val="clear"/>
        </w:rPr>
        <w:t xml:space="preserve"> (2025) Climate change in the British mind, 2024. Yale Program on Climate Change Communication, Yale University, New Haven, CT, USA. Available at </w:t>
      </w:r>
      <w:hyperlink r:id="rId6">
        <w:r>
          <w:rPr>
            <w:rStyle w:val="Hyperlink"/>
            <w:rFonts w:cs="Times New Roman" w:ascii="Times New Roman" w:hAnsi="Times New Roman"/>
            <w:i w:val="false"/>
            <w:iCs w:val="false"/>
            <w:szCs w:val="24"/>
            <w:shd w:fill="auto" w:val="clear"/>
          </w:rPr>
          <w:t>https://climatecommunication.yale.edu/app/uploads/2025/01/climate-change-british-mind-a.pdf</w:t>
        </w:r>
      </w:hyperlink>
      <w:r>
        <w:rPr>
          <w:rFonts w:cs="Times New Roman" w:ascii="Times New Roman" w:hAnsi="Times New Roman"/>
          <w:i w:val="false"/>
          <w:iCs w:val="false"/>
          <w:szCs w:val="24"/>
          <w:shd w:fill="auto" w:val="clear"/>
        </w:rPr>
        <w:t xml:space="preserve"> (accessed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highlight w:val="none"/>
          <w:shd w:fill="auto" w:val="clear"/>
        </w:rPr>
      </w:pPr>
      <w:r>
        <w:rPr>
          <w:rFonts w:cs="Times New Roman" w:ascii="Times New Roman" w:hAnsi="Times New Roman"/>
          <w:szCs w:val="24"/>
          <w:shd w:fill="auto" w:val="clear"/>
        </w:rPr>
        <w:t xml:space="preserve">Orwell G (1968) </w:t>
      </w:r>
      <w:r>
        <w:rPr>
          <w:rFonts w:cs="Times New Roman" w:ascii="Times New Roman" w:hAnsi="Times New Roman"/>
          <w:shd w:fill="auto" w:val="clear"/>
        </w:rPr>
        <w:t>Some thoughts on the common toad (</w:t>
      </w:r>
      <w:r>
        <w:rPr>
          <w:rFonts w:cs="Times New Roman" w:ascii="Times New Roman" w:hAnsi="Times New Roman"/>
          <w:i/>
          <w:iCs/>
          <w:shd w:fill="auto" w:val="clear"/>
        </w:rPr>
        <w:t xml:space="preserve">Tribune, </w:t>
      </w:r>
      <w:r>
        <w:rPr>
          <w:rFonts w:cs="Times New Roman" w:ascii="Times New Roman" w:hAnsi="Times New Roman"/>
          <w:shd w:fill="auto" w:val="clear"/>
        </w:rPr>
        <w:t xml:space="preserve">12 April 1946). In: </w:t>
      </w:r>
      <w:r>
        <w:rPr>
          <w:rFonts w:cs="Times New Roman" w:ascii="Times New Roman" w:hAnsi="Times New Roman"/>
          <w:i/>
          <w:iCs/>
          <w:shd w:fill="auto" w:val="clear"/>
        </w:rPr>
        <w:t>In Front of Your Nose, 1945–1950</w:t>
      </w:r>
      <w:r>
        <w:rPr>
          <w:rFonts w:cs="Times New Roman" w:ascii="Times New Roman" w:hAnsi="Times New Roman"/>
          <w:i/>
          <w:iCs/>
          <w:szCs w:val="24"/>
          <w:shd w:fill="auto" w:val="clear"/>
        </w:rPr>
        <w:t>. Collected Essays, Journalism and Letters</w:t>
      </w:r>
      <w:r>
        <w:rPr>
          <w:rFonts w:cs="Times New Roman" w:ascii="Times New Roman" w:hAnsi="Times New Roman"/>
          <w:szCs w:val="24"/>
          <w:shd w:fill="auto" w:val="clear"/>
        </w:rPr>
        <w:t>, Vol. 4 (S Orwell and I Angus, eds.). Harcourt, Brace and World, New York, NY, USA.</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rFonts w:cs="Times New Roman" w:ascii="Times New Roman" w:hAnsi="Times New Roman"/>
          <w:szCs w:val="24"/>
          <w:shd w:fill="auto" w:val="clear"/>
        </w:rPr>
        <w:t xml:space="preserve">Thallinger G (2025) Climate, risk, insurance: The future of capitalism. Available at </w:t>
      </w:r>
      <w:hyperlink r:id="rId7">
        <w:r>
          <w:rPr>
            <w:rStyle w:val="Hyperlink"/>
            <w:rFonts w:cs="Times New Roman" w:ascii="Times New Roman" w:hAnsi="Times New Roman"/>
            <w:szCs w:val="24"/>
            <w:shd w:fill="auto" w:val="clear"/>
          </w:rPr>
          <w:t>https://www.linkedin.com/pulse/climate-risk-insurance-future-capitalism-g%C3%BCnther-thallinger-smw5f?trk=public_post</w:t>
        </w:r>
      </w:hyperlink>
      <w:r>
        <w:rPr>
          <w:rFonts w:cs="Times New Roman" w:ascii="Times New Roman" w:hAnsi="Times New Roman"/>
          <w:szCs w:val="24"/>
          <w:shd w:fill="auto" w:val="clear"/>
        </w:rPr>
        <w:t xml:space="preserve"> (accessed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pPr>
      <w:r>
        <w:rPr>
          <w:rFonts w:cs="Times New Roman" w:ascii="Times New Roman" w:hAnsi="Times New Roman"/>
          <w:szCs w:val="24"/>
          <w:shd w:fill="auto" w:val="clear"/>
        </w:rPr>
        <w:t xml:space="preserve">Tippet B and Wildauer R (2023) The good life at the top: Analyzing </w:t>
      </w:r>
      <w:r>
        <w:rPr>
          <w:rFonts w:cs="Times New Roman" w:ascii="Times New Roman" w:hAnsi="Times New Roman"/>
          <w:i/>
          <w:iCs/>
          <w:szCs w:val="24"/>
          <w:shd w:fill="auto" w:val="clear"/>
        </w:rPr>
        <w:t>The Sunday Times Rich List</w:t>
      </w:r>
      <w:r>
        <w:rPr>
          <w:rFonts w:cs="Times New Roman" w:ascii="Times New Roman" w:hAnsi="Times New Roman"/>
          <w:i w:val="false"/>
          <w:iCs w:val="false"/>
          <w:szCs w:val="24"/>
          <w:shd w:fill="auto" w:val="clear"/>
        </w:rPr>
        <w:t xml:space="preserve"> 1989–2023. Policy Brief, Centre for Political Economy, Governance, Finance and Accountability, University of Greenwich, UK. Available at </w:t>
      </w:r>
      <w:hyperlink r:id="rId8">
        <w:r>
          <w:rPr>
            <w:rStyle w:val="Hyperlink"/>
            <w:rFonts w:cs="Times New Roman" w:ascii="Times New Roman" w:hAnsi="Times New Roman"/>
            <w:i w:val="false"/>
            <w:iCs w:val="false"/>
            <w:szCs w:val="24"/>
            <w:shd w:fill="auto" w:val="clear"/>
          </w:rPr>
          <w:t>https://gala.gre.ac.uk/id/eprint/42714/23/42714_TIPPET_The_good_life_at_the_top_Analysing_The_Sunday_Times_Rich_List_1989-2023.pdf</w:t>
        </w:r>
      </w:hyperlink>
      <w:r>
        <w:rPr>
          <w:rFonts w:cs="Times New Roman" w:ascii="Times New Roman" w:hAnsi="Times New Roman"/>
          <w:i w:val="false"/>
          <w:iCs w:val="false"/>
          <w:szCs w:val="24"/>
          <w:shd w:fill="auto" w:val="clear"/>
        </w:rPr>
        <w:t xml:space="preserve"> (accessed February 2025).</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t xml:space="preserve">UNITE the Union (2025) </w:t>
      </w:r>
      <w:r>
        <w:rPr>
          <w:rFonts w:cs="Times New Roman" w:ascii="Times New Roman" w:hAnsi="Times New Roman"/>
          <w:i/>
          <w:iCs/>
          <w:szCs w:val="24"/>
          <w:shd w:fill="auto" w:val="clear"/>
        </w:rPr>
        <w:t xml:space="preserve">Energy Profiteering </w:t>
      </w:r>
      <w:r>
        <w:rPr>
          <w:rFonts w:cs="Times New Roman" w:ascii="Times New Roman" w:hAnsi="Times New Roman"/>
          <w:szCs w:val="24"/>
          <w:shd w:fill="auto" w:val="clear"/>
        </w:rPr>
        <w:t xml:space="preserve">Available at </w:t>
      </w:r>
      <w:hyperlink r:id="rId9">
        <w:r>
          <w:rPr>
            <w:rStyle w:val="Hyperlink"/>
            <w:rFonts w:cs="Times New Roman" w:ascii="Times New Roman" w:hAnsi="Times New Roman"/>
            <w:szCs w:val="24"/>
            <w:shd w:fill="auto" w:val="clear"/>
          </w:rPr>
          <w:t>https://www.unitetheunion.org/media/b2kldhmg/profiteering-doc-october-30-fv.pdf</w:t>
        </w:r>
      </w:hyperlink>
      <w:r>
        <w:rPr>
          <w:rFonts w:cs="Times New Roman" w:ascii="Times New Roman" w:hAnsi="Times New Roman"/>
          <w:szCs w:val="24"/>
          <w:shd w:fill="auto" w:val="clear"/>
        </w:rPr>
        <w:t xml:space="preserve"> </w:t>
      </w:r>
      <w:r>
        <w:rPr/>
        <w:t>(accessed February 2026)</w:t>
      </w:r>
    </w:p>
    <w:p>
      <w:pPr>
        <w:pStyle w:val="Normal"/>
        <w:spacing w:lineRule="auto" w:line="276" w:before="0" w:after="0"/>
        <w:rPr>
          <w:rFonts w:ascii="Times New Roman" w:hAnsi="Times New Roman" w:cs="Times New Roman"/>
          <w:szCs w:val="24"/>
          <w:highlight w:val="none"/>
          <w:shd w:fill="auto" w:val="clear"/>
        </w:rPr>
      </w:pPr>
      <w:r>
        <w:rPr/>
      </w:r>
    </w:p>
    <w:p>
      <w:pPr>
        <w:pStyle w:val="Normal"/>
        <w:spacing w:lineRule="auto" w:line="276" w:before="0" w:after="0"/>
        <w:rPr>
          <w:highlight w:val="none"/>
          <w:shd w:fill="auto" w:val="clear"/>
        </w:rPr>
      </w:pPr>
      <w:r>
        <w:rPr>
          <w:rFonts w:cs="Times New Roman" w:ascii="Times New Roman" w:hAnsi="Times New Roman"/>
          <w:b/>
          <w:bCs/>
          <w:szCs w:val="24"/>
          <w:shd w:fill="auto" w:val="clear"/>
        </w:rPr>
        <w:t>Author</w:t>
      </w:r>
    </w:p>
    <w:p>
      <w:pPr>
        <w:pStyle w:val="Normal"/>
        <w:spacing w:lineRule="auto" w:line="276" w:before="0" w:after="0"/>
        <w:rPr>
          <w:highlight w:val="none"/>
          <w:shd w:fill="auto" w:val="clear"/>
        </w:rPr>
      </w:pPr>
      <w:r>
        <w:rPr>
          <w:rFonts w:cs="Times New Roman" w:ascii="Times New Roman" w:hAnsi="Times New Roman"/>
          <w:szCs w:val="24"/>
          <w:shd w:fill="auto" w:val="clear"/>
        </w:rPr>
        <w:t>Nigel is the chaplain to the Chapel at Churchill College, Cambridge and the Diocesan Environment Officer for the diocese of Ely (Cambridgeshire and west Norfolk); he is also a visiting professor in the Global Sustainability Institute, Anglia Ruskin University, Cambridge.</w:t>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p>
      <w:pPr>
        <w:pStyle w:val="Normal"/>
        <w:spacing w:lineRule="auto" w:line="276" w:before="0" w:after="0"/>
        <w:rPr>
          <w:rFonts w:ascii="Times New Roman" w:hAnsi="Times New Roman" w:cs="Times New Roman"/>
          <w:szCs w:val="24"/>
          <w:highlight w:val="none"/>
          <w:shd w:fill="auto" w:val="clear"/>
        </w:rPr>
      </w:pPr>
      <w:r>
        <w:rPr>
          <w:rFonts w:cs="Times New Roman" w:ascii="Times New Roman" w:hAnsi="Times New Roman"/>
          <w:szCs w:val="24"/>
          <w:shd w:fill="auto" w:val="clear"/>
        </w:rPr>
      </w:r>
    </w:p>
    <w:sectPr>
      <w:footerReference w:type="even" r:id="rId10"/>
      <w:footerReference w:type="default" r:id="rId11"/>
      <w:footerReference w:type="first" r:id="rId12"/>
      <w:type w:val="nextPage"/>
      <w:pgSz w:w="11906" w:h="16838"/>
      <w:pgMar w:left="1136" w:right="1136" w:gutter="0" w:header="0" w:top="1136" w:footer="1136" w:bottom="2412"/>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ptos">
    <w:charset w:val="00"/>
    <w:family w:val="roman"/>
    <w:pitch w:val="variable"/>
  </w:font>
  <w:font w:name="Aptos Display">
    <w:charset w:val="00"/>
    <w:family w:val="roman"/>
    <w:pitch w:val="variable"/>
  </w:font>
  <w:font w:name="Liberation Sans">
    <w:altName w:val="Arial"/>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0693306"/>
    </w:sdtPr>
    <w:sdtContent>
      <w:p>
        <w:pPr>
          <w:pStyle w:val="Foot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5</w:t>
        </w:r>
        <w:r>
          <w:rPr>
            <w:rFonts w:cs="Times New Roman" w:ascii="Times New Roman" w:hAnsi="Times New Roman"/>
          </w:rPr>
          <w:fldChar w:fldCharType="end"/>
        </w:r>
      </w:p>
    </w:sdtContent>
  </w:sdt>
  <w:p>
    <w:pPr>
      <w:pStyle w:val="Footer"/>
      <w:rPr>
        <w:rFonts w:ascii="Times New Roman" w:hAnsi="Times New Roman" w:cs="Times New Roman"/>
      </w:rPr>
    </w:pPr>
    <w:r>
      <w:rPr>
        <w:rFonts w:cs="Times New Roman" w:ascii="Times New Roman" w:hAnsi="Times New Roman"/>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1810693306"/>
    </w:sdtPr>
    <w:sdtContent>
      <w:p>
        <w:pPr>
          <w:pStyle w:val="Footer"/>
          <w:jc w:val="center"/>
          <w:rPr>
            <w:rFonts w:ascii="Times New Roman" w:hAnsi="Times New Roman" w:cs="Times New Roman"/>
          </w:rPr>
        </w:pPr>
        <w:r>
          <w:rPr>
            <w:rFonts w:cs="Times New Roman" w:ascii="Times New Roman" w:hAnsi="Times New Roman"/>
          </w:rPr>
          <w:fldChar w:fldCharType="begin"/>
        </w:r>
        <w:r>
          <w:rPr>
            <w:rFonts w:cs="Times New Roman" w:ascii="Times New Roman" w:hAnsi="Times New Roman"/>
          </w:rPr>
          <w:instrText xml:space="preserve"> PAGE </w:instrText>
        </w:r>
        <w:r>
          <w:rPr>
            <w:rFonts w:cs="Times New Roman" w:ascii="Times New Roman" w:hAnsi="Times New Roman"/>
          </w:rPr>
          <w:fldChar w:fldCharType="separate"/>
        </w:r>
        <w:r>
          <w:rPr>
            <w:rFonts w:cs="Times New Roman" w:ascii="Times New Roman" w:hAnsi="Times New Roman"/>
          </w:rPr>
          <w:t>5</w:t>
        </w:r>
        <w:r>
          <w:rPr>
            <w:rFonts w:cs="Times New Roman" w:ascii="Times New Roman" w:hAnsi="Times New Roman"/>
          </w:rPr>
          <w:fldChar w:fldCharType="end"/>
        </w:r>
      </w:p>
    </w:sdtContent>
  </w:sdt>
  <w:p>
    <w:pPr>
      <w:pStyle w:val="Footer"/>
      <w:rPr>
        <w:rFonts w:ascii="Times New Roman" w:hAnsi="Times New Roman" w:cs="Times New Roman"/>
      </w:rPr>
    </w:pPr>
    <w:r>
      <w:rPr>
        <w:rFonts w:cs="Times New Roman" w:ascii="Times New Roman" w:hAnsi="Times New Roman"/>
      </w:rPr>
    </w:r>
  </w:p>
</w:ftr>
</file>

<file path=word/settings.xml><?xml version="1.0" encoding="utf-8"?>
<w:settings xmlns:w="http://schemas.openxmlformats.org/wordprocessingml/2006/main">
  <w:zoom w:percent="120"/>
  <w:defaultTabStop w:val="720"/>
  <w:autoHyphenation w:val="true"/>
  <w:hyphenationZone w:val="36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he-IL"/>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2"/>
        <w:szCs w:val="22"/>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13fd5"/>
    <w:pPr>
      <w:widowControl/>
      <w:suppressAutoHyphens w:val="true"/>
      <w:bidi w:val="0"/>
      <w:spacing w:lineRule="auto" w:line="259" w:before="0" w:after="160"/>
      <w:jc w:val="left"/>
    </w:pPr>
    <w:rPr>
      <w:rFonts w:ascii="Aptos" w:hAnsi="Aptos" w:eastAsia="Aptos" w:cs="" w:asciiTheme="minorHAnsi" w:cstheme="minorBidi" w:eastAsiaTheme="minorHAnsi" w:hAnsiTheme="minorHAnsi"/>
      <w:color w:val="auto"/>
      <w:kern w:val="2"/>
      <w:sz w:val="24"/>
      <w:szCs w:val="22"/>
      <w:lang w:val="en-GB" w:eastAsia="en-US" w:bidi="ar-SA"/>
      <w14:ligatures w14:val="standardContextual"/>
    </w:rPr>
  </w:style>
  <w:style w:type="paragraph" w:styleId="Heading1">
    <w:name w:val="heading 1"/>
    <w:basedOn w:val="Normal"/>
    <w:next w:val="Normal"/>
    <w:link w:val="Heading1Char"/>
    <w:uiPriority w:val="9"/>
    <w:qFormat/>
    <w:rsid w:val="00a26efa"/>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a26efa"/>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a26efa"/>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a26efa"/>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a26efa"/>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a26efa"/>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a26efa"/>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a26efa"/>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a26efa"/>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a26efa"/>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a26efa"/>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a26efa"/>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a26efa"/>
    <w:rPr>
      <w:rFonts w:eastAsia="" w:cs="" w:cstheme="majorBidi" w:eastAsiaTheme="majorEastAsia"/>
      <w:i/>
      <w:iCs/>
      <w:color w:themeColor="accent1" w:themeShade="bf" w:val="0F4761"/>
      <w:sz w:val="24"/>
    </w:rPr>
  </w:style>
  <w:style w:type="character" w:styleId="Heading5Char" w:customStyle="1">
    <w:name w:val="Heading 5 Char"/>
    <w:basedOn w:val="DefaultParagraphFont"/>
    <w:link w:val="Heading5"/>
    <w:uiPriority w:val="9"/>
    <w:semiHidden/>
    <w:qFormat/>
    <w:rsid w:val="00a26efa"/>
    <w:rPr>
      <w:rFonts w:eastAsia="" w:cs="" w:cstheme="majorBidi" w:eastAsiaTheme="majorEastAsia"/>
      <w:color w:themeColor="accent1" w:themeShade="bf" w:val="0F4761"/>
      <w:sz w:val="24"/>
    </w:rPr>
  </w:style>
  <w:style w:type="character" w:styleId="Heading6Char" w:customStyle="1">
    <w:name w:val="Heading 6 Char"/>
    <w:basedOn w:val="DefaultParagraphFont"/>
    <w:link w:val="Heading6"/>
    <w:uiPriority w:val="9"/>
    <w:semiHidden/>
    <w:qFormat/>
    <w:rsid w:val="00a26efa"/>
    <w:rPr>
      <w:rFonts w:eastAsia="" w:cs="" w:cstheme="majorBidi" w:eastAsiaTheme="majorEastAsia"/>
      <w:i/>
      <w:iCs/>
      <w:color w:themeColor="text1" w:themeTint="a6" w:val="595959"/>
      <w:sz w:val="24"/>
    </w:rPr>
  </w:style>
  <w:style w:type="character" w:styleId="Heading7Char" w:customStyle="1">
    <w:name w:val="Heading 7 Char"/>
    <w:basedOn w:val="DefaultParagraphFont"/>
    <w:link w:val="Heading7"/>
    <w:uiPriority w:val="9"/>
    <w:semiHidden/>
    <w:qFormat/>
    <w:rsid w:val="00a26efa"/>
    <w:rPr>
      <w:rFonts w:eastAsia="" w:cs="" w:cstheme="majorBidi" w:eastAsiaTheme="majorEastAsia"/>
      <w:color w:themeColor="text1" w:themeTint="a6" w:val="595959"/>
      <w:sz w:val="24"/>
    </w:rPr>
  </w:style>
  <w:style w:type="character" w:styleId="Heading8Char" w:customStyle="1">
    <w:name w:val="Heading 8 Char"/>
    <w:basedOn w:val="DefaultParagraphFont"/>
    <w:link w:val="Heading8"/>
    <w:uiPriority w:val="9"/>
    <w:semiHidden/>
    <w:qFormat/>
    <w:rsid w:val="00a26efa"/>
    <w:rPr>
      <w:rFonts w:eastAsia="" w:cs="" w:cstheme="majorBidi" w:eastAsiaTheme="majorEastAsia"/>
      <w:i/>
      <w:iCs/>
      <w:color w:themeColor="text1" w:themeTint="d8" w:val="272727"/>
      <w:sz w:val="24"/>
    </w:rPr>
  </w:style>
  <w:style w:type="character" w:styleId="Heading9Char" w:customStyle="1">
    <w:name w:val="Heading 9 Char"/>
    <w:basedOn w:val="DefaultParagraphFont"/>
    <w:link w:val="Heading9"/>
    <w:uiPriority w:val="9"/>
    <w:semiHidden/>
    <w:qFormat/>
    <w:rsid w:val="00a26efa"/>
    <w:rPr>
      <w:rFonts w:eastAsia="" w:cs="" w:cstheme="majorBidi" w:eastAsiaTheme="majorEastAsia"/>
      <w:color w:themeColor="text1" w:themeTint="d8" w:val="272727"/>
      <w:sz w:val="24"/>
    </w:rPr>
  </w:style>
  <w:style w:type="character" w:styleId="TitleChar" w:customStyle="1">
    <w:name w:val="Title Char"/>
    <w:basedOn w:val="DefaultParagraphFont"/>
    <w:link w:val="Title"/>
    <w:uiPriority w:val="10"/>
    <w:qFormat/>
    <w:rsid w:val="00a26efa"/>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a26efa"/>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a26efa"/>
    <w:rPr>
      <w:i/>
      <w:iCs/>
      <w:color w:themeColor="text1" w:themeTint="bf" w:val="404040"/>
      <w:sz w:val="24"/>
    </w:rPr>
  </w:style>
  <w:style w:type="character" w:styleId="IntenseEmphasis">
    <w:name w:val="Intense Emphasis"/>
    <w:basedOn w:val="DefaultParagraphFont"/>
    <w:uiPriority w:val="21"/>
    <w:qFormat/>
    <w:rsid w:val="00a26efa"/>
    <w:rPr>
      <w:i/>
      <w:iCs/>
      <w:color w:themeColor="accent1" w:themeShade="bf" w:val="0F4761"/>
    </w:rPr>
  </w:style>
  <w:style w:type="character" w:styleId="IntenseQuoteChar" w:customStyle="1">
    <w:name w:val="Intense Quote Char"/>
    <w:basedOn w:val="DefaultParagraphFont"/>
    <w:link w:val="IntenseQuote"/>
    <w:uiPriority w:val="30"/>
    <w:qFormat/>
    <w:rsid w:val="00a26efa"/>
    <w:rPr>
      <w:i/>
      <w:iCs/>
      <w:color w:themeColor="accent1" w:themeShade="bf" w:val="0F4761"/>
      <w:sz w:val="24"/>
    </w:rPr>
  </w:style>
  <w:style w:type="character" w:styleId="IntenseReference">
    <w:name w:val="Intense Reference"/>
    <w:basedOn w:val="DefaultParagraphFont"/>
    <w:uiPriority w:val="32"/>
    <w:qFormat/>
    <w:rsid w:val="00a26efa"/>
    <w:rPr>
      <w:b/>
      <w:bCs/>
      <w:smallCaps/>
      <w:color w:themeColor="accent1" w:themeShade="bf" w:val="0F4761"/>
      <w:spacing w:val="5"/>
    </w:rPr>
  </w:style>
  <w:style w:type="character" w:styleId="FootnoteTextChar" w:customStyle="1">
    <w:name w:val="Footnote Text Char"/>
    <w:basedOn w:val="DefaultParagraphFont"/>
    <w:link w:val="FootnoteText"/>
    <w:uiPriority w:val="99"/>
    <w:qFormat/>
    <w:rsid w:val="00251f37"/>
    <w:rPr>
      <w:sz w:val="20"/>
      <w:szCs w:val="20"/>
    </w:rPr>
  </w:style>
  <w:style w:type="character" w:styleId="FootnoteCharacters" w:customStyle="1">
    <w:name w:val="Footnote Characters"/>
    <w:uiPriority w:val="99"/>
    <w:semiHidden/>
    <w:unhideWhenUsed/>
    <w:qFormat/>
    <w:rsid w:val="00251f37"/>
    <w:rPr>
      <w:vertAlign w:val="superscript"/>
    </w:rPr>
  </w:style>
  <w:style w:type="character" w:styleId="FootnoteCharactersuser">
    <w:name w:val="Footnote Characters (user)"/>
    <w:qFormat/>
    <w:rPr>
      <w:vertAlign w:val="superscript"/>
    </w:rPr>
  </w:style>
  <w:style w:type="character" w:styleId="FootnoteReference">
    <w:name w:val="footnote reference"/>
    <w:rPr>
      <w:vertAlign w:val="superscript"/>
    </w:rPr>
  </w:style>
  <w:style w:type="character" w:styleId="Hyperlink">
    <w:name w:val="Hyperlink"/>
    <w:basedOn w:val="DefaultParagraphFont"/>
    <w:uiPriority w:val="99"/>
    <w:unhideWhenUsed/>
    <w:rsid w:val="00251f37"/>
    <w:rPr>
      <w:color w:themeColor="hyperlink" w:val="467886"/>
      <w:u w:val="single"/>
    </w:rPr>
  </w:style>
  <w:style w:type="character" w:styleId="UnresolvedMention">
    <w:name w:val="Unresolved Mention"/>
    <w:basedOn w:val="DefaultParagraphFont"/>
    <w:uiPriority w:val="99"/>
    <w:semiHidden/>
    <w:unhideWhenUsed/>
    <w:qFormat/>
    <w:rsid w:val="00251f37"/>
    <w:rPr>
      <w:color w:val="605E5C"/>
      <w:shd w:fill="E1DFDD" w:val="clear"/>
    </w:rPr>
  </w:style>
  <w:style w:type="character" w:styleId="HeaderChar" w:customStyle="1">
    <w:name w:val="Header Char"/>
    <w:basedOn w:val="DefaultParagraphFont"/>
    <w:link w:val="Header"/>
    <w:uiPriority w:val="99"/>
    <w:qFormat/>
    <w:rsid w:val="001143cf"/>
    <w:rPr>
      <w:sz w:val="24"/>
    </w:rPr>
  </w:style>
  <w:style w:type="character" w:styleId="FooterChar" w:customStyle="1">
    <w:name w:val="Footer Char"/>
    <w:basedOn w:val="DefaultParagraphFont"/>
    <w:link w:val="Footer"/>
    <w:uiPriority w:val="99"/>
    <w:qFormat/>
    <w:rsid w:val="001143cf"/>
    <w:rPr>
      <w:sz w:val="24"/>
    </w:rPr>
  </w:style>
  <w:style w:type="character" w:styleId="LineNumber">
    <w:name w:val="line number"/>
    <w:qFormat/>
    <w:rPr/>
  </w:style>
  <w:style w:type="character" w:styleId="EndnoteCharacters" w:customStyle="1">
    <w:name w:val="Endnote Characters"/>
    <w:qFormat/>
    <w:rPr>
      <w:vertAlign w:val="superscript"/>
    </w:rPr>
  </w:style>
  <w:style w:type="character" w:styleId="EndnoteCharactersuser">
    <w:name w:val="Endnote Characters (user)"/>
    <w:qFormat/>
    <w:rPr>
      <w:vertAlign w:val="superscript"/>
    </w:rPr>
  </w:style>
  <w:style w:type="character" w:styleId="EndnoteReference">
    <w:name w:val="endnote reference"/>
    <w:rPr>
      <w:vertAlign w:val="superscript"/>
    </w:rPr>
  </w:style>
  <w:style w:type="character" w:styleId="FollowedHyperlink">
    <w:name w:val="FollowedHyperlink"/>
    <w:rPr>
      <w:color w:val="800000"/>
      <w:u w:val="single"/>
    </w:rPr>
  </w:style>
  <w:style w:type="paragraph" w:styleId="Heading" w:customStyle="1">
    <w:name w:val="Heading"/>
    <w:basedOn w:val="Normal"/>
    <w:next w:val="BodyText"/>
    <w:qFormat/>
    <w:pPr>
      <w:keepNext w:val="true"/>
      <w:spacing w:before="240" w:after="120"/>
    </w:pPr>
    <w:rPr>
      <w:rFonts w:ascii="Liberation Sans" w:hAnsi="Liberation Sans" w:eastAsia="PingFang SC"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customStyle="1">
    <w:name w:val="Index"/>
    <w:basedOn w:val="Normal"/>
    <w:qFormat/>
    <w:pPr>
      <w:suppressLineNumbers/>
    </w:pPr>
    <w:rPr>
      <w:rFonts w:cs="Lucida Sans"/>
    </w:rPr>
  </w:style>
  <w:style w:type="paragraph" w:styleId="caption1">
    <w:name w:val="caption1"/>
    <w:basedOn w:val="Normal"/>
    <w:qFormat/>
    <w:pPr>
      <w:suppressLineNumbers/>
      <w:spacing w:before="120" w:after="120"/>
    </w:pPr>
    <w:rPr>
      <w:rFonts w:cs="Lucida Sans"/>
      <w:i/>
      <w:iCs/>
      <w:szCs w:val="24"/>
    </w:rPr>
  </w:style>
  <w:style w:type="paragraph" w:styleId="Title">
    <w:name w:val="Title"/>
    <w:basedOn w:val="Normal"/>
    <w:next w:val="Normal"/>
    <w:link w:val="TitleChar"/>
    <w:uiPriority w:val="10"/>
    <w:qFormat/>
    <w:rsid w:val="00a26efa"/>
    <w:pPr>
      <w:spacing w:lineRule="auto" w:line="240" w:before="0" w:after="80"/>
      <w:contextualSpacing/>
    </w:pPr>
    <w:rPr>
      <w:rFonts w:ascii="Aptos Display" w:hAnsi="Aptos Display" w:eastAsia="" w:cs="" w:asciiTheme="majorHAnsi" w:cstheme="majorBidi" w:eastAsiaTheme="majorEastAsia" w:hAnsiTheme="majorHAnsi"/>
      <w:spacing w:val="-10"/>
      <w:sz w:val="56"/>
      <w:szCs w:val="56"/>
    </w:rPr>
  </w:style>
  <w:style w:type="paragraph" w:styleId="Subtitle">
    <w:name w:val="Subtitle"/>
    <w:basedOn w:val="Normal"/>
    <w:next w:val="Normal"/>
    <w:link w:val="SubtitleChar"/>
    <w:uiPriority w:val="11"/>
    <w:qFormat/>
    <w:rsid w:val="00a26efa"/>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a26efa"/>
    <w:pPr>
      <w:spacing w:before="160" w:after="160"/>
      <w:jc w:val="center"/>
    </w:pPr>
    <w:rPr>
      <w:i/>
      <w:iCs/>
      <w:color w:themeColor="text1" w:themeTint="bf" w:val="404040"/>
    </w:rPr>
  </w:style>
  <w:style w:type="paragraph" w:styleId="ListParagraph">
    <w:name w:val="List Paragraph"/>
    <w:basedOn w:val="Normal"/>
    <w:uiPriority w:val="34"/>
    <w:qFormat/>
    <w:rsid w:val="00a26efa"/>
    <w:pPr>
      <w:spacing w:before="0" w:after="160"/>
      <w:ind w:left="720"/>
      <w:contextualSpacing/>
    </w:pPr>
    <w:rPr/>
  </w:style>
  <w:style w:type="paragraph" w:styleId="IntenseQuote">
    <w:name w:val="Intense Quote"/>
    <w:basedOn w:val="Normal"/>
    <w:next w:val="Normal"/>
    <w:link w:val="IntenseQuoteChar"/>
    <w:uiPriority w:val="30"/>
    <w:qFormat/>
    <w:rsid w:val="00a26efa"/>
    <w:pPr>
      <w:pBdr>
        <w:top w:val="single" w:sz="4" w:space="10" w:color="0F4761" w:themeColor="accent1" w:themeShade="bf"/>
        <w:bottom w:val="single" w:sz="4" w:space="10" w:color="0F4761" w:themeColor="accent1" w:themeShade="bf"/>
      </w:pBdr>
      <w:spacing w:before="360" w:after="360"/>
      <w:ind w:left="864" w:right="864"/>
      <w:jc w:val="center"/>
    </w:pPr>
    <w:rPr>
      <w:i/>
      <w:iCs/>
      <w:color w:themeColor="accent1" w:themeShade="bf" w:val="0F4761"/>
    </w:rPr>
  </w:style>
  <w:style w:type="paragraph" w:styleId="FootnoteText">
    <w:name w:val="footnote text"/>
    <w:basedOn w:val="Normal"/>
    <w:link w:val="FootnoteTextChar"/>
    <w:uiPriority w:val="99"/>
    <w:unhideWhenUsed/>
    <w:rsid w:val="00251f37"/>
    <w:pPr>
      <w:spacing w:lineRule="auto" w:line="240" w:before="0" w:after="0"/>
    </w:pPr>
    <w:rPr>
      <w:sz w:val="20"/>
      <w:szCs w:val="20"/>
    </w:rPr>
  </w:style>
  <w:style w:type="paragraph" w:styleId="HeaderandFooter" w:customStyle="1">
    <w:name w:val="Header and Footer"/>
    <w:basedOn w:val="Normal"/>
    <w:qFormat/>
    <w:pPr/>
    <w:rPr/>
  </w:style>
  <w:style w:type="paragraph" w:styleId="Header">
    <w:name w:val="header"/>
    <w:basedOn w:val="Normal"/>
    <w:link w:val="HeaderChar"/>
    <w:uiPriority w:val="99"/>
    <w:unhideWhenUsed/>
    <w:rsid w:val="001143cf"/>
    <w:pPr>
      <w:tabs>
        <w:tab w:val="clear" w:pos="720"/>
        <w:tab w:val="center" w:pos="4513" w:leader="none"/>
        <w:tab w:val="right" w:pos="9026" w:leader="none"/>
      </w:tabs>
      <w:spacing w:lineRule="auto" w:line="240" w:before="0" w:after="0"/>
    </w:pPr>
    <w:rPr/>
  </w:style>
  <w:style w:type="paragraph" w:styleId="Footer">
    <w:name w:val="footer"/>
    <w:basedOn w:val="Normal"/>
    <w:link w:val="FooterChar"/>
    <w:uiPriority w:val="99"/>
    <w:unhideWhenUsed/>
    <w:rsid w:val="001143cf"/>
    <w:pPr>
      <w:tabs>
        <w:tab w:val="clear" w:pos="720"/>
        <w:tab w:val="center" w:pos="4513" w:leader="none"/>
        <w:tab w:val="right" w:pos="9026"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theecologist.org/2025/sep/29/end-line-cod" TargetMode="External"/><Relationship Id="rId3" Type="http://schemas.openxmlformats.org/officeDocument/2006/relationships/hyperlink" Target="https://www.businessgreen.com/news/4124277/poll-climate-policy-exacerbating-public-eco-anxiety" TargetMode="External"/><Relationship Id="rId4" Type="http://schemas.openxmlformats.org/officeDocument/2006/relationships/hyperlink" Target="https://climateoutreach.org/btc/2025/report/" TargetMode="External"/><Relationship Id="rId5" Type="http://schemas.openxmlformats.org/officeDocument/2006/relationships/hyperlink" Target="https://www.globalactionplan.org.uk/files/final_white_paper.pdf" TargetMode="External"/><Relationship Id="rId6" Type="http://schemas.openxmlformats.org/officeDocument/2006/relationships/hyperlink" Target="https://climatecommunication.yale.edu/app/uploads/2025/01/climate-change-british-mind-a.pdf" TargetMode="External"/><Relationship Id="rId7" Type="http://schemas.openxmlformats.org/officeDocument/2006/relationships/hyperlink" Target="https://www.linkedin.com/pulse/climate-risk-insurance-future-capitalism-g&#252;nther-thallinger-smw5f?trk=public_post" TargetMode="External"/><Relationship Id="rId8" Type="http://schemas.openxmlformats.org/officeDocument/2006/relationships/hyperlink" Target="https://gala.gre.ac.uk/id/eprint/42714/23/42714_TIPPET_The_good_life_at_the_top_Analysing_The_Sunday_Times_Rich_List_1989-2023.pdf" TargetMode="External"/><Relationship Id="rId9" Type="http://schemas.openxmlformats.org/officeDocument/2006/relationships/hyperlink" Target="https://www.unitetheunion.org/media/b2kldhmg/profiteering-doc-october-30-fv.pdf" TargetMode="Externa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settings" Target="settings.xml"/><Relationship Id="rId15" Type="http://schemas.openxmlformats.org/officeDocument/2006/relationships/theme" Target="theme/theme1.xml"/><Relationship Id="rId1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AC64B-240E-46C7-B90F-0FB6DABF6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Application>LibreOffice/25.8.3.2$Windows_X86_64 LibreOffice_project/8ca8d55c161d602844f5428fa4b58097424e324e</Application>
  <AppVersion>15.0000</AppVersion>
  <Pages>5</Pages>
  <Words>2210</Words>
  <Characters>11084</Characters>
  <CharactersWithSpaces>13249</CharactersWithSpaces>
  <Paragraphs>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2025-11-03T20:34:00Z</dcterms:created>
  <dc:creator>Nigel Cooper</dc:creator>
  <dc:description/>
  <dc:language>en-GB</dc:language>
  <cp:lastModifiedBy/>
  <cp:lastPrinted>2026-02-08T12:53:11Z</cp:lastPrinted>
  <dcterms:modified xsi:type="dcterms:W3CDTF">2026-02-10T13:06:30Z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ActionId">
    <vt:lpwstr>aac1ba94-600e-47d5-ae56-bac14e0c0bc3</vt:lpwstr>
  </property>
  <property fmtid="{D5CDD505-2E9C-101B-9397-08002B2CF9AE}" pid="3" name="MSIP_Label_69af8531-eb46-4968-8cb3-105d2f5ea87e_ContentBits">
    <vt:lpwstr>0</vt:lpwstr>
  </property>
  <property fmtid="{D5CDD505-2E9C-101B-9397-08002B2CF9AE}" pid="4" name="MSIP_Label_69af8531-eb46-4968-8cb3-105d2f5ea87e_Enabled">
    <vt:lpwstr>true</vt:lpwstr>
  </property>
  <property fmtid="{D5CDD505-2E9C-101B-9397-08002B2CF9AE}" pid="5" name="MSIP_Label_69af8531-eb46-4968-8cb3-105d2f5ea87e_Method">
    <vt:lpwstr>Standard</vt:lpwstr>
  </property>
  <property fmtid="{D5CDD505-2E9C-101B-9397-08002B2CF9AE}" pid="6" name="MSIP_Label_69af8531-eb46-4968-8cb3-105d2f5ea87e_Name">
    <vt:lpwstr>Official - No Marking</vt:lpwstr>
  </property>
  <property fmtid="{D5CDD505-2E9C-101B-9397-08002B2CF9AE}" pid="7" name="MSIP_Label_69af8531-eb46-4968-8cb3-105d2f5ea87e_SetDate">
    <vt:lpwstr>2026-02-03T22:52:20Z</vt:lpwstr>
  </property>
  <property fmtid="{D5CDD505-2E9C-101B-9397-08002B2CF9AE}" pid="8" name="MSIP_Label_69af8531-eb46-4968-8cb3-105d2f5ea87e_SiteId">
    <vt:lpwstr>b46c1908-0334-4236-b978-585ee88e4199</vt:lpwstr>
  </property>
  <property fmtid="{D5CDD505-2E9C-101B-9397-08002B2CF9AE}" pid="9" name="MSIP_Label_69af8531-eb46-4968-8cb3-105d2f5ea87e_Tag">
    <vt:lpwstr>10, 3, 0, 1</vt:lpwstr>
  </property>
</Properties>
</file>